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1F7D" w14:textId="77777777" w:rsidR="0003192B" w:rsidRPr="00FC78EF" w:rsidRDefault="0003192B" w:rsidP="0003192B">
      <w:pPr>
        <w:rPr>
          <w:b/>
        </w:rPr>
      </w:pPr>
      <w:r w:rsidRPr="00FC78EF">
        <w:rPr>
          <w:b/>
        </w:rPr>
        <w:t xml:space="preserve">Concept sheet for </w:t>
      </w:r>
      <w:r w:rsidR="001D2176">
        <w:rPr>
          <w:b/>
        </w:rPr>
        <w:t>PCD microbiome project</w:t>
      </w:r>
    </w:p>
    <w:p w14:paraId="2767A8AC" w14:textId="77777777" w:rsidR="0003192B" w:rsidRDefault="0003192B" w:rsidP="0003192B">
      <w:r>
        <w:t>Microbi</w:t>
      </w:r>
      <w:r w:rsidR="000A26BC">
        <w:t>al diversity</w:t>
      </w:r>
      <w:r>
        <w:t xml:space="preserve"> in Primary Ciliary Dyskinesia compared to idiopathic bronchiectasis.  A BEAT-PCD and EMBARC biobank study.</w:t>
      </w:r>
    </w:p>
    <w:p w14:paraId="4EBE930B" w14:textId="77777777" w:rsidR="0003192B" w:rsidRDefault="0003192B" w:rsidP="0003192B">
      <w:r>
        <w:t xml:space="preserve">Writing team </w:t>
      </w:r>
      <w:r w:rsidR="00FC78EF">
        <w:t>(in alphabetical order)</w:t>
      </w:r>
    </w:p>
    <w:p w14:paraId="001BEE8F" w14:textId="43346C70" w:rsidR="0003192B" w:rsidRDefault="00FC78EF" w:rsidP="0003192B">
      <w:r>
        <w:t>Stefano Aliberti, Mary Carroll, James Chalmers, Micheal Loebinger, Jane Lucas,</w:t>
      </w:r>
      <w:r w:rsidRPr="00FC78EF">
        <w:t xml:space="preserve"> </w:t>
      </w:r>
      <w:r>
        <w:t>Martina Ori</w:t>
      </w:r>
      <w:r w:rsidR="00A80C4A">
        <w:t>ano</w:t>
      </w:r>
      <w:r>
        <w:t>, Amelia Shoemark.</w:t>
      </w:r>
    </w:p>
    <w:p w14:paraId="4A9B8418" w14:textId="77777777" w:rsidR="0003192B" w:rsidRDefault="0003192B" w:rsidP="0003192B">
      <w:r>
        <w:t xml:space="preserve">Possible data providers </w:t>
      </w:r>
    </w:p>
    <w:p w14:paraId="4126410D" w14:textId="6E691D8C" w:rsidR="0003192B" w:rsidRDefault="0003192B" w:rsidP="0003192B">
      <w:r>
        <w:t>All members of BEAT-PCD</w:t>
      </w:r>
      <w:r w:rsidR="00C510C3">
        <w:t xml:space="preserve">, </w:t>
      </w:r>
      <w:r w:rsidR="00FC78EF">
        <w:t>EMBARC, - All ERN (European reference network) - Lung members and affiliating or supporting partners</w:t>
      </w:r>
    </w:p>
    <w:p w14:paraId="739A6B95" w14:textId="77777777" w:rsidR="0003192B" w:rsidRPr="00FC78EF" w:rsidRDefault="0003192B" w:rsidP="0003192B">
      <w:pPr>
        <w:rPr>
          <w:b/>
        </w:rPr>
      </w:pPr>
      <w:r w:rsidRPr="00FC78EF">
        <w:rPr>
          <w:b/>
        </w:rPr>
        <w:t xml:space="preserve">Background </w:t>
      </w:r>
    </w:p>
    <w:p w14:paraId="061E277F" w14:textId="77777777" w:rsidR="000A26BC" w:rsidRDefault="000A26BC" w:rsidP="0003192B">
      <w:r>
        <w:t xml:space="preserve">Primary ciliary dyskinesia (PCD) is a rare inherited condition where dysfunction of multiple cilia leads to poor mucociliary clearance. Patients suffer from recurrent upper and lower respiratory tract infections which ordinarily lead to bronchiectasis by adulthood. </w:t>
      </w:r>
    </w:p>
    <w:p w14:paraId="4DDDEA0F" w14:textId="77777777" w:rsidR="000A26BC" w:rsidRDefault="000A26BC" w:rsidP="0003192B">
      <w:r>
        <w:t xml:space="preserve">Patients with PCD tend to be younger, have more severe disease and are more likely to have chronic pseudomonas than patients with idiopathic or post infectious bronchiectasis.  </w:t>
      </w:r>
      <w:r w:rsidR="00FC78EF">
        <w:t>P</w:t>
      </w:r>
      <w:r>
        <w:t>i</w:t>
      </w:r>
      <w:r w:rsidR="00FC78EF">
        <w:t xml:space="preserve">lot data from </w:t>
      </w:r>
      <w:r>
        <w:t xml:space="preserve">185 patients with bronchiectasis </w:t>
      </w:r>
      <w:r w:rsidR="00FC78EF">
        <w:t xml:space="preserve">has shown that PCD </w:t>
      </w:r>
      <w:r>
        <w:t xml:space="preserve">is a key predictor of reduced microbiome diversity, which in turn is linked to disease severity. </w:t>
      </w:r>
    </w:p>
    <w:p w14:paraId="556920C2" w14:textId="222A67DF" w:rsidR="000A26BC" w:rsidRDefault="000A26BC" w:rsidP="0003192B">
      <w:r>
        <w:t xml:space="preserve">The purpose of this project is to validate these findings in a larger European cohort and </w:t>
      </w:r>
      <w:r w:rsidR="00A80C4A">
        <w:t>describe differences in microbiome</w:t>
      </w:r>
      <w:r w:rsidR="00077C2C">
        <w:t xml:space="preserve"> and local neutrophilic inflammation</w:t>
      </w:r>
      <w:r w:rsidR="00A80C4A">
        <w:t xml:space="preserve"> among PCD and idiopathic/post infective bronchiectasis </w:t>
      </w:r>
    </w:p>
    <w:p w14:paraId="3D1A8E1D" w14:textId="77777777" w:rsidR="0003192B" w:rsidRPr="00FC78EF" w:rsidRDefault="0003192B" w:rsidP="0003192B">
      <w:pPr>
        <w:rPr>
          <w:b/>
        </w:rPr>
      </w:pPr>
      <w:r w:rsidRPr="00FC78EF">
        <w:rPr>
          <w:b/>
        </w:rPr>
        <w:t xml:space="preserve">Aims:  </w:t>
      </w:r>
    </w:p>
    <w:p w14:paraId="3ECACDFF" w14:textId="77777777" w:rsidR="0003192B" w:rsidRDefault="0003192B" w:rsidP="0003192B">
      <w:r>
        <w:t>The aim of this p</w:t>
      </w:r>
      <w:r w:rsidR="00FC78EF">
        <w:t>roject</w:t>
      </w:r>
      <w:r>
        <w:t xml:space="preserve"> </w:t>
      </w:r>
      <w:r w:rsidR="00BF5D48">
        <w:t>is</w:t>
      </w:r>
      <w:r>
        <w:t xml:space="preserve">: </w:t>
      </w:r>
    </w:p>
    <w:p w14:paraId="054D72DA" w14:textId="0E02115A" w:rsidR="0003192B" w:rsidRDefault="0003192B" w:rsidP="0003192B">
      <w:r>
        <w:t>Co</w:t>
      </w:r>
      <w:r w:rsidR="00FC78EF">
        <w:t xml:space="preserve">mpare microbiome </w:t>
      </w:r>
      <w:r w:rsidR="004B7D47">
        <w:t xml:space="preserve">composition </w:t>
      </w:r>
      <w:r w:rsidR="00BF5D48">
        <w:t>and</w:t>
      </w:r>
      <w:r w:rsidR="00FC78EF">
        <w:t xml:space="preserve"> </w:t>
      </w:r>
      <w:r w:rsidR="00BF5D48">
        <w:t>diversity</w:t>
      </w:r>
      <w:r w:rsidR="00FC78EF">
        <w:t xml:space="preserve"> </w:t>
      </w:r>
      <w:r w:rsidR="00787815">
        <w:t xml:space="preserve">along with neutrophil inflammation biomarkers </w:t>
      </w:r>
      <w:r w:rsidR="00FC78EF">
        <w:t>between</w:t>
      </w:r>
      <w:r w:rsidR="00EC0E39">
        <w:t xml:space="preserve"> adult</w:t>
      </w:r>
      <w:r w:rsidR="00FC78EF">
        <w:t xml:space="preserve"> patients with PCD and age gender</w:t>
      </w:r>
      <w:r w:rsidR="00C963E4">
        <w:t xml:space="preserve"> and FEV1%</w:t>
      </w:r>
      <w:r w:rsidR="65A570CD">
        <w:t xml:space="preserve"> (above 50% and below 50%) </w:t>
      </w:r>
      <w:r w:rsidR="00FC78EF">
        <w:t xml:space="preserve"> matched patients with idiopathic</w:t>
      </w:r>
      <w:r w:rsidR="00C963E4">
        <w:t xml:space="preserve"> or post infective</w:t>
      </w:r>
      <w:r w:rsidR="00FC78EF">
        <w:t xml:space="preserve"> bronchiectasis</w:t>
      </w:r>
      <w:r w:rsidR="00EC0E39">
        <w:t xml:space="preserve"> in stable state</w:t>
      </w:r>
      <w:r w:rsidR="00FC78EF">
        <w:t xml:space="preserve">. </w:t>
      </w:r>
      <w:r>
        <w:t xml:space="preserve"> </w:t>
      </w:r>
    </w:p>
    <w:p w14:paraId="073BC60D" w14:textId="77777777" w:rsidR="0003192B" w:rsidRPr="00DE27AC" w:rsidRDefault="0003192B" w:rsidP="0003192B">
      <w:pPr>
        <w:rPr>
          <w:b/>
          <w:bCs/>
        </w:rPr>
      </w:pPr>
      <w:r w:rsidRPr="00DE27AC">
        <w:rPr>
          <w:b/>
          <w:bCs/>
        </w:rPr>
        <w:t xml:space="preserve">Methods </w:t>
      </w:r>
    </w:p>
    <w:p w14:paraId="1B29A4AF" w14:textId="77777777" w:rsidR="0003192B" w:rsidRDefault="0003192B" w:rsidP="0003192B">
      <w:r>
        <w:t xml:space="preserve">Inclusion criteria: </w:t>
      </w:r>
    </w:p>
    <w:p w14:paraId="279F9DC0" w14:textId="7E46A7BA" w:rsidR="00892D6D" w:rsidRDefault="00BF5D48" w:rsidP="00892D6D">
      <w:pPr>
        <w:pStyle w:val="ListParagraph"/>
        <w:numPr>
          <w:ilvl w:val="0"/>
          <w:numId w:val="1"/>
        </w:numPr>
      </w:pPr>
      <w:r>
        <w:t>Spontaneous sputum sample</w:t>
      </w:r>
      <w:r w:rsidR="00892D6D">
        <w:t xml:space="preserve">s </w:t>
      </w:r>
      <w:r w:rsidR="000A26BC">
        <w:t>held in</w:t>
      </w:r>
      <w:r w:rsidR="00892D6D">
        <w:t xml:space="preserve"> biobanks with appropriate IRB consent for microbiome studies.</w:t>
      </w:r>
    </w:p>
    <w:p w14:paraId="31738FDD" w14:textId="0D1436C2" w:rsidR="00892D6D" w:rsidRDefault="00892D6D" w:rsidP="000A26BC">
      <w:pPr>
        <w:pStyle w:val="ListParagraph"/>
        <w:numPr>
          <w:ilvl w:val="0"/>
          <w:numId w:val="1"/>
        </w:numPr>
        <w:rPr>
          <w:rFonts w:eastAsiaTheme="minorEastAsia"/>
        </w:rPr>
      </w:pPr>
      <w:r>
        <w:t>P</w:t>
      </w:r>
      <w:r w:rsidR="0003192B">
        <w:t xml:space="preserve">atients with a confirmed diagnosis of PCD (bi-allelic mutations in a gene, </w:t>
      </w:r>
      <w:r w:rsidR="00BF5D48">
        <w:t>or hallmark TEM</w:t>
      </w:r>
      <w:r w:rsidR="0003192B">
        <w:t xml:space="preserve"> </w:t>
      </w:r>
      <w:r w:rsidR="00BF5D48">
        <w:t xml:space="preserve">and with </w:t>
      </w:r>
      <w:r w:rsidR="0003192B">
        <w:t xml:space="preserve">clinical symptoms of </w:t>
      </w:r>
      <w:r w:rsidR="000A26BC">
        <w:t>the disease</w:t>
      </w:r>
      <w:r w:rsidR="00BF5D48">
        <w:t>)</w:t>
      </w:r>
      <w:r w:rsidR="0003192B">
        <w:t xml:space="preserve">  </w:t>
      </w:r>
      <w:r w:rsidR="000A26BC">
        <w:t>AND for each PCD sputum sample an a</w:t>
      </w:r>
      <w:r>
        <w:t>ge</w:t>
      </w:r>
      <w:r w:rsidR="00AE74E6">
        <w:t>, sex</w:t>
      </w:r>
      <w:r>
        <w:t xml:space="preserve"> and </w:t>
      </w:r>
      <w:r w:rsidR="00AE74E6">
        <w:t xml:space="preserve">FEV1%predict.&lt;50% </w:t>
      </w:r>
      <w:r w:rsidR="467E53C5">
        <w:t>or FEV1%predict.&gt;=50%</w:t>
      </w:r>
      <w:r w:rsidR="00AE74E6">
        <w:t xml:space="preserve"> </w:t>
      </w:r>
      <w:r>
        <w:t>matched patients with idiopathic bronchiectasis who have had PICADAR &lt; 4 and normal nasal NO (&gt;77nl/min)</w:t>
      </w:r>
      <w:r w:rsidR="000A26BC">
        <w:t>.</w:t>
      </w:r>
    </w:p>
    <w:p w14:paraId="70157C2C" w14:textId="7A731CA8" w:rsidR="000A26BC" w:rsidRDefault="2CAC2EAD" w:rsidP="193111D4">
      <w:pPr>
        <w:pStyle w:val="ListParagraph"/>
        <w:numPr>
          <w:ilvl w:val="0"/>
          <w:numId w:val="1"/>
        </w:numPr>
        <w:rPr>
          <w:rFonts w:eastAsiaTheme="minorEastAsia"/>
        </w:rPr>
      </w:pPr>
      <w:r>
        <w:t xml:space="preserve">Aetiologies defined as per </w:t>
      </w:r>
      <w:r w:rsidR="52CCB499">
        <w:t xml:space="preserve">ERS 2017 </w:t>
      </w:r>
      <w:r w:rsidR="35FF02A0">
        <w:t xml:space="preserve">bronchiectasis </w:t>
      </w:r>
      <w:r w:rsidR="52CCB499">
        <w:t>guidelines</w:t>
      </w:r>
      <w:r w:rsidR="00877794">
        <w:t xml:space="preserve"> </w:t>
      </w:r>
      <w:r w:rsidR="00877794">
        <w:fldChar w:fldCharType="begin" w:fldLock="1"/>
      </w:r>
      <w:r w:rsidR="00877794">
        <w:instrText>ADDIN CSL_CITATION {"citationItems":[{"id":"ITEM-1","itemData":{"DOI":"10.1183/13993003.00629-2017","ISSN":"1399-3003 (Electronic)","PMID":"28889110","abstract":"Bronchiectasis in adults is a chronic disorder associated with poor quality of life and frequent exacerbations in many patients. There have been no previous international guidelines.The European Respiratory Society guidelines for the management of adult bronchiectasis describe the appropriate investigation and treatment strategies determined by a systematic review of the literature.A multidisciplinary group representing respiratory medicine, microbiology, physiotherapy, thoracic surgery, primary care, methodology and patients considered the most relevant clinical questions (for both clinicians and patients) related to management of bronchiectasis. Nine key clinical questions were generated and a systematic review was conducted to identify published systematic reviews, randomised clinical trials and observational studies that answered these questions. We used the GRADE approach to define the quality of the evidence and the level of recommendations. The resulting guideline addresses the investigation of underlying causes of bronchiectasis, treatment of exacerbations, pathogen eradication, long term antibiotic treatment, anti-inflammatories, mucoactive drugs, bronchodilators, surgical treatment and respiratory physiotherapy.These recommendations can be used to benchmark quality of care for people with bronchiectasis across Europe and to improve outcomes.","author":[{"dropping-particle":"","family":"Polverino","given":"Eva","non-dropping-particle":"","parse-names":false,"suffix":""},{"dropping-particle":"","family":"Goeminne","given":"Pieter C","non-dropping-particle":"","parse-names":false,"suffix":""},{"dropping-particle":"","family":"McDonnell","given":"Melissa J","non-dropping-particle":"","parse-names":false,"suffix":""},{"dropping-particle":"","family":"Aliberti","given":"Stefano","non-dropping-particle":"","parse-names":false,"suffix":""},{"dropping-particle":"","family":"Marshall","given":"Sara E","non-dropping-particle":"","parse-names":false,"suffix":""},{"dropping-particle":"","family":"Loebinger","given":"Michael R","non-dropping-particle":"","parse-names":false,"suffix":""},{"dropping-particle":"","family":"Murris","given":"Marlene","non-dropping-particle":"","parse-names":false,"suffix":""},{"dropping-particle":"","family":"Canton","given":"Rafael","non-dropping-particle":"","parse-names":false,"suffix":""},{"dropping-particle":"","family":"Torres","given":"Antoni","non-dropping-particle":"","parse-names":false,"suffix":""},{"dropping-particle":"","family":"Dimakou","given":"Katerina","non-dropping-particle":"","parse-names":false,"suffix":""},{"dropping-particle":"","family":"Soyza","given":"Anthony","non-dropping-particle":"De","parse-names":false,"suffix":""},{"dropping-particle":"","family":"Hill","given":"Adam T","non-dropping-particle":"","parse-names":false,"suffix":""},{"dropping-particle":"","family":"Haworth","given":"Charles S","non-dropping-particle":"","parse-names":false,"suffix":""},{"dropping-particle":"","family":"Vendrell","given":"Montserrat","non-dropping-particle":"","parse-names":false,"suffix":""},{"dropping-particle":"","family":"Ringshausen","given":"Felix C","non-dropping-particle":"","parse-names":false,"suffix":""},{"dropping-particle":"","family":"Subotic","given":"Dragan","non-dropping-particle":"","parse-names":false,"suffix":""},{"dropping-particle":"","family":"Wilson","given":"Robert","non-dropping-particle":"","parse-names":false,"suffix":""},{"dropping-particle":"","family":"Vilaro","given":"Jordi","non-dropping-particle":"","parse-names":false,"suffix":""},{"dropping-particle":"","family":"Stallberg","given":"Bjorn","non-dropping-particle":"","parse-names":false,"suffix":""},{"dropping-particle":"","family":"Welte","given":"Tobias","non-dropping-particle":"","parse-names":false,"suffix":""},{"dropping-particle":"","family":"Rohde","given":"Gernot","non-dropping-particle":"","parse-names":false,"suffix":""},{"dropping-particle":"","family":"Blasi","given":"Francesco","non-dropping-particle":"","parse-names":false,"suffix":""},{"dropping-particle":"","family":"Elborn","given":"Stuart","non-dropping-particle":"","parse-names":false,"suffix":""},{"dropping-particle":"","family":"Almagro","given":"Marta","non-dropping-particle":"","parse-names":false,"suffix":""},{"dropping-particle":"","family":"Timothy","given":"Alan","non-dropping-particle":"","parse-names":false,"suffix":""},{"dropping-particle":"","family":"Ruddy","given":"Thomas","non-dropping-particle":"","parse-names":false,"suffix":""},{"dropping-particle":"","family":"Tonia","given":"Thomy","non-dropping-particle":"","parse-names":false,"suffix":""},{"dropping-particle":"","family":"Rigau","given":"David","non-dropping-particle":"","parse-names":false,"suffix":""},{"dropping-particle":"","family":"Chalmers","given":"James D","non-dropping-particle":"","parse-names":false,"suffix":""}],"container-title":"The European respiratory journal","id":"ITEM-1","issue":"3","issued":{"date-parts":[["2017","9"]]},"language":"eng","publisher-place":"England","title":"European Respiratory Society guidelines for the management of adult bronchiectasis.","type":"article-journal","volume":"50"},"uris":["http://www.mendeley.com/documents/?uuid=19be7eb0-b3c8-48e1-9421-9df5e86c8d39"]}],"mendeley":{"formattedCitation":"(1)","plainTextFormattedCitation":"(1)","previouslyFormattedCitation":"(1)"},"properties":{"noteIndex":0},"schema":"https://github.com/citation-style-language/schema/raw/master/csl-citation.json"}</w:instrText>
      </w:r>
      <w:r w:rsidR="00877794">
        <w:fldChar w:fldCharType="separate"/>
      </w:r>
      <w:r w:rsidR="00877794" w:rsidRPr="00877794">
        <w:rPr>
          <w:noProof/>
        </w:rPr>
        <w:t>(1)</w:t>
      </w:r>
      <w:r w:rsidR="00877794">
        <w:fldChar w:fldCharType="end"/>
      </w:r>
    </w:p>
    <w:p w14:paraId="21FFE684" w14:textId="25DA40B5" w:rsidR="000A26BC" w:rsidRDefault="00361662" w:rsidP="61A89738">
      <w:pPr>
        <w:pStyle w:val="ListParagraph"/>
        <w:numPr>
          <w:ilvl w:val="0"/>
          <w:numId w:val="1"/>
        </w:numPr>
      </w:pPr>
      <w:r>
        <w:t xml:space="preserve">More than </w:t>
      </w:r>
      <w:r w:rsidR="00DE27AC">
        <w:t xml:space="preserve">1 month apart </w:t>
      </w:r>
      <w:r>
        <w:t>since the</w:t>
      </w:r>
      <w:r>
        <w:t xml:space="preserve"> </w:t>
      </w:r>
      <w:r w:rsidR="00005E77">
        <w:t>last exacerbation/antibiotic course</w:t>
      </w:r>
    </w:p>
    <w:p w14:paraId="46E3F33F" w14:textId="77777777" w:rsidR="00C510C3" w:rsidRPr="00EC0E39" w:rsidRDefault="00C510C3" w:rsidP="00C510C3">
      <w:pPr>
        <w:rPr>
          <w:b/>
          <w:bCs/>
        </w:rPr>
      </w:pPr>
      <w:r w:rsidRPr="00EC0E39">
        <w:rPr>
          <w:b/>
          <w:bCs/>
        </w:rPr>
        <w:t>Matching parameters for idiopathic or post infective patients with PCD</w:t>
      </w:r>
    </w:p>
    <w:p w14:paraId="31F78776" w14:textId="77777777" w:rsidR="00C510C3" w:rsidRDefault="00C510C3" w:rsidP="00C510C3">
      <w:pPr>
        <w:pStyle w:val="ListParagraph"/>
        <w:numPr>
          <w:ilvl w:val="0"/>
          <w:numId w:val="4"/>
        </w:numPr>
      </w:pPr>
      <w:r>
        <w:t>Age (</w:t>
      </w:r>
      <w:r w:rsidRPr="4568BD38">
        <w:t>±</w:t>
      </w:r>
      <w:r>
        <w:t>5)</w:t>
      </w:r>
    </w:p>
    <w:p w14:paraId="00148FF7" w14:textId="77777777" w:rsidR="00C510C3" w:rsidRDefault="00C510C3" w:rsidP="00C510C3">
      <w:pPr>
        <w:pStyle w:val="ListParagraph"/>
        <w:numPr>
          <w:ilvl w:val="0"/>
          <w:numId w:val="4"/>
        </w:numPr>
      </w:pPr>
      <w:r>
        <w:t>Sex</w:t>
      </w:r>
    </w:p>
    <w:p w14:paraId="2FE39EE5" w14:textId="77777777" w:rsidR="00C510C3" w:rsidRDefault="00C510C3" w:rsidP="00C510C3">
      <w:pPr>
        <w:pStyle w:val="ListParagraph"/>
        <w:numPr>
          <w:ilvl w:val="0"/>
          <w:numId w:val="4"/>
        </w:numPr>
      </w:pPr>
      <w:r>
        <w:lastRenderedPageBreak/>
        <w:t>FEV1%predict.&lt;50% or FEV1%predict&gt;=50%</w:t>
      </w:r>
    </w:p>
    <w:p w14:paraId="3A28CA87" w14:textId="77777777" w:rsidR="00005E77" w:rsidRDefault="00005E77" w:rsidP="00C510C3"/>
    <w:p w14:paraId="03A01336" w14:textId="6724BFF7" w:rsidR="00E87CBD" w:rsidRPr="00C510C3" w:rsidRDefault="0003192B" w:rsidP="00C510C3">
      <w:pPr>
        <w:pStyle w:val="ListParagraph"/>
        <w:rPr>
          <w:b/>
        </w:rPr>
      </w:pPr>
      <w:r w:rsidRPr="00DC0101">
        <w:rPr>
          <w:b/>
        </w:rPr>
        <w:t xml:space="preserve">Data collection:  </w:t>
      </w:r>
    </w:p>
    <w:p w14:paraId="3ACF5BE4" w14:textId="0AF220B6" w:rsidR="00E87CBD" w:rsidRPr="00FB3E2D" w:rsidRDefault="00E87CBD" w:rsidP="61A89738">
      <w:pPr>
        <w:pStyle w:val="ListParagraph"/>
        <w:numPr>
          <w:ilvl w:val="0"/>
          <w:numId w:val="6"/>
        </w:numPr>
      </w:pPr>
      <w:r w:rsidRPr="61A89738">
        <w:rPr>
          <w:b/>
          <w:bCs/>
        </w:rPr>
        <w:t>PCD diagnosis</w:t>
      </w:r>
      <w:r w:rsidR="00361662">
        <w:t xml:space="preserve"> (TEM</w:t>
      </w:r>
      <w:r>
        <w:t>,</w:t>
      </w:r>
      <w:r w:rsidR="00361662">
        <w:t xml:space="preserve"> Gene, Nasal NO,</w:t>
      </w:r>
      <w:r w:rsidR="008A7F3A">
        <w:t xml:space="preserve"> </w:t>
      </w:r>
      <w:r w:rsidR="7985FCFD">
        <w:t xml:space="preserve">and </w:t>
      </w:r>
      <w:r w:rsidR="14AF3035">
        <w:t>high-speed</w:t>
      </w:r>
      <w:r w:rsidR="00361662">
        <w:t xml:space="preserve"> video -where available)</w:t>
      </w:r>
      <w:r>
        <w:t xml:space="preserve"> </w:t>
      </w:r>
    </w:p>
    <w:p w14:paraId="40051C0F" w14:textId="0D35F45F" w:rsidR="00DC0101" w:rsidRDefault="00DC0101" w:rsidP="00DC0101">
      <w:r>
        <w:t xml:space="preserve">Transmission electron microscopy results should be reported according to international standardised criteria. </w:t>
      </w:r>
      <w:r w:rsidR="00877794">
        <w:fldChar w:fldCharType="begin" w:fldLock="1"/>
      </w:r>
      <w:r w:rsidR="00A76440">
        <w:instrText>ADDIN CSL_CITATION {"citationItems":[{"id":"ITEM-1","itemData":{"DOI":"10.1183/13993003.00725-2019","ISSN":"13993003","abstract":"© 2020 European Respiratory Society. All rights reserved. Primary Ciliary Dyskinesia (PCD) is a heterogeneous genetic condition. European and North American diagnostic guidelines recommend transmission electron microscopy (TEM) as one of a combination of tests to confirm a diagnosis. However, there is no definition of what constitutes a defect or consensus on reporting terminology. The aim of this project was to provide an internationally agreed ultrastructural classification for PCD diagnosis by TEM. A consensus guideline was developed by PCD electron microscopy experts representing 18 centres in 14 countries. An initial meeting and discussion were followed by a Delphi consensus process. The agreed guideline was then tested, modified and retested through exchange of samples and electron micrographs between the 18 diagnostic centres. The final guideline a) Provides agreed terminology and a definition of class 1 defects which are diagnostic for PCD; b) Identifies class 2 defects which can indicate a diagnosis of PCD in combination with other supporting evidence; c) Describes features which should be included in a ciliary ultrastructure report to assist multidisciplinary diagnosis of PCD d) Defines adequacy of a diagnostic sample. This tested and externally validated statement provides a clear guideline for the diagnosis of PCD by TEM which can be used to standardise diagnosis internationally.","author":[{"dropping-particle":"","family":"Shoemark","given":"A.","non-dropping-particle":"","parse-names":false,"suffix":""},{"dropping-particle":"","family":"Boon","given":"M.","non-dropping-particle":"","parse-names":false,"suffix":""},{"dropping-particle":"","family":"Brochhausen","given":"C.","non-dropping-particle":"","parse-names":false,"suffix":""},{"dropping-particle":"","family":"Bukowy-Bieryllo","given":"Z.","non-dropping-particle":"","parse-names":false,"suffix":""},{"dropping-particle":"","family":"Santi","given":"M.M.","non-dropping-particle":"de","parse-names":false,"suffix":""},{"dropping-particle":"","family":"Goggin","given":"P.","non-dropping-particle":"","parse-names":false,"suffix":""},{"dropping-particle":"","family":"Griffin","given":"P.","non-dropping-particle":"","parse-names":false,"suffix":""},{"dropping-particle":"","family":"Hegele","given":"R.G.","non-dropping-particle":"","parse-names":false,"suffix":""},{"dropping-particle":"","family":"Hirst","given":"R.A.","non-dropping-particle":"","parse-names":false,"suffix":""},{"dropping-particle":"","family":"Leigh","given":"M.W.","non-dropping-particle":"","parse-names":false,"suffix":""},{"dropping-particle":"","family":"Lupton","given":"A.","non-dropping-particle":"","parse-names":false,"suffix":""},{"dropping-particle":"","family":"MacKenney","given":"K.","non-dropping-particle":"","parse-names":false,"suffix":""},{"dropping-particle":"","family":"Omran","given":"H.","non-dropping-particle":"","parse-names":false,"suffix":""},{"dropping-particle":"","family":"Pache","given":"J.-C.","non-dropping-particle":"","parse-names":false,"suffix":""},{"dropping-particle":"","family":"Pinto","given":"A.","non-dropping-particle":"","parse-names":false,"suffix":""},{"dropping-particle":"","family":"Reinholt","given":"F.P.","non-dropping-particle":"","parse-names":false,"suffix":""},{"dropping-particle":"","family":"Schroeder","given":"J.","non-dropping-particle":"","parse-names":false,"suffix":""},{"dropping-particle":"","family":"Yiallouros","given":"P.","non-dropping-particle":"","parse-names":false,"suffix":""},{"dropping-particle":"","family":"Escudier","given":"E.","non-dropping-particle":"","parse-names":false,"suffix":""}],"container-title":"European Respiratory Journal","id":"ITEM-1","issue":"4","issued":{"date-parts":[["2020"]]},"title":"International consensus guideline for reporting transmission electron microscopy results in the diagnosis of Primary Ciliary Dyskinesia (BEAT PCD TEM Criteria)","type":"article-journal","volume":"55"},"uris":["http://www.mendeley.com/documents/?uuid=e9f9cca0-8ea2-3dea-b75a-9d1c3e276283"]}],"mendeley":{"formattedCitation":"(2)","plainTextFormattedCitation":"(2)","previouslyFormattedCitation":"(2)"},"properties":{"noteIndex":0},"schema":"https://github.com/citation-style-language/schema/raw/master/csl-citation.json"}</w:instrText>
      </w:r>
      <w:r w:rsidR="00877794">
        <w:fldChar w:fldCharType="separate"/>
      </w:r>
      <w:r w:rsidR="00877794" w:rsidRPr="00877794">
        <w:rPr>
          <w:noProof/>
        </w:rPr>
        <w:t>(2)</w:t>
      </w:r>
      <w:r w:rsidR="00877794">
        <w:fldChar w:fldCharType="end"/>
      </w:r>
    </w:p>
    <w:p w14:paraId="1F124A50" w14:textId="22387E7F" w:rsidR="0003192B" w:rsidRDefault="0003192B" w:rsidP="0003192B">
      <w:r>
        <w:t xml:space="preserve">Genotype </w:t>
      </w:r>
      <w:r w:rsidR="7784FFAA">
        <w:t xml:space="preserve">(if available) </w:t>
      </w:r>
      <w:r>
        <w:t xml:space="preserve">of patients should </w:t>
      </w:r>
      <w:r w:rsidR="3DC60643">
        <w:t>include</w:t>
      </w:r>
      <w:r>
        <w:t xml:space="preserve"> information of the exact mutations by indicating the disease specific gene including both DNA- and protein-level (e.g. DNAH5 (Exon 20: c.3036_3041delAGCG, p.V1014Lfs*20 het. + Exon 25: c.C3949T, p.Q1317* het.)). Results of segregation of autosomal recessive mutations should be provided if available. </w:t>
      </w:r>
    </w:p>
    <w:p w14:paraId="28A163A2" w14:textId="2628130B" w:rsidR="0003192B" w:rsidRDefault="0003192B" w:rsidP="008A7F3A">
      <w:r>
        <w:t xml:space="preserve">Assessment of Nasal NO concentration measured by a NO chemiluminescence </w:t>
      </w:r>
      <w:r w:rsidR="00621A96">
        <w:t>analyser in nl/min</w:t>
      </w:r>
    </w:p>
    <w:p w14:paraId="7E177366" w14:textId="77777777" w:rsidR="008A7F3A" w:rsidRPr="00877794" w:rsidRDefault="008A7F3A" w:rsidP="008A7F3A">
      <w:pPr>
        <w:pStyle w:val="ListParagraph"/>
        <w:numPr>
          <w:ilvl w:val="0"/>
          <w:numId w:val="6"/>
        </w:numPr>
        <w:rPr>
          <w:b/>
          <w:bCs/>
        </w:rPr>
      </w:pPr>
      <w:r w:rsidRPr="00877794">
        <w:rPr>
          <w:b/>
          <w:bCs/>
        </w:rPr>
        <w:t>PICADAR Score</w:t>
      </w:r>
    </w:p>
    <w:p w14:paraId="2A1AE649" w14:textId="59EC347D" w:rsidR="008A7F3A" w:rsidRDefault="00DC0101" w:rsidP="00337EE3">
      <w:pPr>
        <w:pStyle w:val="ListParagraph"/>
      </w:pPr>
      <w:r>
        <w:t>I</w:t>
      </w:r>
      <w:r w:rsidR="00E87CBD">
        <w:t>n</w:t>
      </w:r>
      <w:r>
        <w:t xml:space="preserve">dividual </w:t>
      </w:r>
      <w:r w:rsidR="00E87CBD">
        <w:t>components</w:t>
      </w:r>
      <w:r>
        <w:t xml:space="preserve"> </w:t>
      </w:r>
      <w:r w:rsidR="149FE3C6">
        <w:t>(whe</w:t>
      </w:r>
      <w:r w:rsidR="20024E89">
        <w:t xml:space="preserve">re </w:t>
      </w:r>
      <w:r w:rsidR="149FE3C6">
        <w:t>available)</w:t>
      </w:r>
      <w:r>
        <w:t xml:space="preserve"> and total score for the PICADAR should be reported.</w:t>
      </w:r>
      <w:r w:rsidR="00A76440">
        <w:fldChar w:fldCharType="begin" w:fldLock="1"/>
      </w:r>
      <w:r w:rsidR="00A76440">
        <w:instrText>ADDIN CSL_CITATION {"citationItems":[{"id":"ITEM-1","itemData":{"DOI":"10.1183/13993003.01551-2015","ISSN":"1399-3003 (Electronic)","PMID":"26917608","abstract":"Symptoms of primary ciliary dyskinesia (PCD) are nonspecific and guidance on whom to  refer for testing is limited. Diagnostic tests for PCD are highly specialised, requiring expensive equipment and experienced PCD scientists. This study aims to develop a practical clinical diagnostic tool to identify patients requiring testing.Patients consecutively referred for testing were studied. Information readily obtained from patient history was correlated with diagnostic outcome. Using logistic regression, the predictive performance of the best model was tested by receiver operating characteristic curve analyses. The model was simplified into a practical tool (PICADAR) and externally validated in a second diagnostic centre.Of 641 referrals with a definitive diagnostic outcome, 75 (12%) were positive. PICADAR applies to patients with persistent wet cough and has seven predictive parameters: full-term gestation, neonatal chest symptoms, neonatal intensive care admittance, chronic rhinitis, ear symptoms, situs inversus and congenital cardiac defect. Sensitivity and specificity of the tool were 0.90 and 0.75 for a cut-off score of 5 points. Area under the curve for the internally and externally validated tool was 0.91 and 0.87, respectively.PICADAR represents a simple diagnostic clinical prediction rule with good accuracy and validity, ready for testing in respiratory centres referring to PCD centres.","author":[{"dropping-particle":"","family":"Behan","given":"Laura","non-dropping-particle":"","parse-names":false,"suffix":""},{"dropping-particle":"","family":"Dimitrov","given":"Borislav D","non-dropping-particle":"","parse-names":false,"suffix":""},{"dropping-particle":"","family":"Kuehni","given":"Claudia E","non-dropping-particle":"","parse-names":false,"suffix":""},{"dropping-particle":"","family":"Hogg","given":"Claire","non-dropping-particle":"","parse-names":false,"suffix":""},{"dropping-particle":"","family":"Carroll","given":"Mary","non-dropping-particle":"","parse-names":false,"suffix":""},{"dropping-particle":"","family":"Evans","given":"Hazel J","non-dropping-particle":"","parse-names":false,"suffix":""},{"dropping-particle":"","family":"Goutaki","given":"Myrofora","non-dropping-particle":"","parse-names":false,"suffix":""},{"dropping-particle":"","family":"Harris","given":"Amanda","non-dropping-particle":"","parse-names":false,"suffix":""},{"dropping-particle":"","family":"Packham","given":"Samantha","non-dropping-particle":"","parse-names":false,"suffix":""},{"dropping-particle":"","family":"Walker","given":"Woolf T","non-dropping-particle":"","parse-names":false,"suffix":""},{"dropping-particle":"","family":"Lucas","given":"Jane S","non-dropping-particle":"","parse-names":false,"suffix":""}],"container-title":"The European respiratory journal","id":"ITEM-1","issue":"4","issued":{"date-parts":[["2016","4"]]},"language":"eng","page":"1103-1112","title":"PICADAR: a diagnostic predictive tool for primary ciliary dyskinesia.","type":"article-journal","volume":"47"},"uris":["http://www.mendeley.com/documents/?uuid=6ae90af2-d7f3-4dd4-82f0-4caf794ecf60"]}],"mendeley":{"formattedCitation":"(3)","plainTextFormattedCitation":"(3)","previouslyFormattedCitation":"(3)"},"properties":{"noteIndex":0},"schema":"https://github.com/citation-style-language/schema/raw/master/csl-citation.json"}</w:instrText>
      </w:r>
      <w:r w:rsidR="00A76440">
        <w:fldChar w:fldCharType="separate"/>
      </w:r>
      <w:r w:rsidR="00A76440" w:rsidRPr="00A76440">
        <w:rPr>
          <w:noProof/>
        </w:rPr>
        <w:t>(3)</w:t>
      </w:r>
      <w:r w:rsidR="00A76440">
        <w:fldChar w:fldCharType="end"/>
      </w:r>
    </w:p>
    <w:p w14:paraId="72EA4B5A" w14:textId="77777777" w:rsidR="00337EE3" w:rsidRDefault="00337EE3" w:rsidP="00337EE3">
      <w:pPr>
        <w:pStyle w:val="ListParagraph"/>
      </w:pPr>
    </w:p>
    <w:p w14:paraId="0AAD5E79" w14:textId="075FAF65" w:rsidR="008A7F3A" w:rsidRDefault="1A1D586A" w:rsidP="008A7F3A">
      <w:pPr>
        <w:pStyle w:val="ListParagraph"/>
        <w:numPr>
          <w:ilvl w:val="0"/>
          <w:numId w:val="6"/>
        </w:numPr>
      </w:pPr>
      <w:r w:rsidRPr="00337EE3">
        <w:rPr>
          <w:b/>
          <w:bCs/>
        </w:rPr>
        <w:t>Bronchiectasis severity index</w:t>
      </w:r>
      <w:r w:rsidR="77A201A3">
        <w:t xml:space="preserve"> (mandatory</w:t>
      </w:r>
      <w:bookmarkStart w:id="0" w:name="_GoBack"/>
      <w:bookmarkEnd w:id="0"/>
      <w:r w:rsidR="77A201A3">
        <w:t>)</w:t>
      </w:r>
    </w:p>
    <w:p w14:paraId="53304A42" w14:textId="6BEA8F29" w:rsidR="008A7F3A" w:rsidRDefault="008A7F3A" w:rsidP="008A7F3A">
      <w:pPr>
        <w:pStyle w:val="ListParagraph"/>
      </w:pPr>
      <w:r>
        <w:t xml:space="preserve">Individual components should be reported. Age (yrs), BMI, FEV1% predicted, number hospital admissions in the past 2 years, exacerbation frequency in last 12 months, MRC dyspnoea score, pseudomonas </w:t>
      </w:r>
      <w:r w:rsidR="01E6B026">
        <w:t xml:space="preserve">or other bacteria </w:t>
      </w:r>
      <w:r>
        <w:t>colonisation status, radiological severity</w:t>
      </w:r>
      <w:r w:rsidR="00A76440">
        <w:t xml:space="preserve"> </w:t>
      </w:r>
      <w:r w:rsidR="00A76440">
        <w:fldChar w:fldCharType="begin" w:fldLock="1"/>
      </w:r>
      <w:r w:rsidR="00A76440">
        <w:instrText>ADDIN CSL_CITATION {"citationItems":[{"id":"ITEM-1","itemData":{"DOI":"10.1164/rccm.201309-1575OC","ISSN":"1535-4970 (Electronic)","PMID":"24328736","abstract":"RATIONALE: There are no risk stratification tools for morbidity and mortality in  bronchiectasis. Identifying patients at risk of exacerbations, hospital admissions, and mortality is vital for future research. OBJECTIVES: This study describes the derivation and validation of the Bronchiectasis Severity Index (BSI). METHODS: Derivation of the BSI used data from a prospective cohort study (Edinburgh, UK, 2008-2012) enrolling 608 patients. Cox proportional hazard regression was used to identify independent predictors of mortality and hospitalization over 4-year follow-up. The score was validated in independent cohorts from Dundee, UK (n = 218); Leuven, Belgium (n = 253); Monza, Italy (n = 105); and Newcastle, UK (n = 126). MEASUREMENTS AND MAIN RESULTS: Independent predictors of future hospitalization were prior hospital admissions, Medical Research Council dyspnea score greater than or equal to 4, FEV1 &lt; 30% predicted, Pseudomonas aeruginosa colonization, colonization with other pathogenic organisms, and three or more lobes involved on high-resolution computed tomography. Independent predictors of mortality were older age, low FEV1, lower body mass index, prior hospitalization, and three or more exacerbations in the year before the study. The derived BSI predicted mortality and hospitalization: area under the receiver operator characteristic curve (AUC) 0.80 (95% confidence interval, 0.74-0.86) for mortality and AUC 0.88 (95% confidence interval, 0.84-0.91) for hospitalization, respectively. There was a clear difference in exacerbation frequency and quality of life using the St. George's Respiratory Questionnaire between patients classified as low, intermediate, and high risk by the score (P &lt; 0.0001 for all comparisons). In the validation cohorts, the AUC for mortality ranged from 0.81 to 0.84 and for hospitalization from 0.80 to 0.88. CONCLUSIONS: The BSI is a useful clinical predictive tool that identifies patients at risk of future mortality, hospitalization, and exacerbations across healthcare systems.","author":[{"dropping-particle":"","family":"Chalmers","given":"James D","non-dropping-particle":"","parse-names":false,"suffix":""},{"dropping-particle":"","family":"Goeminne","given":"Pieter","non-dropping-particle":"","parse-names":false,"suffix":""},{"dropping-particle":"","family":"Aliberti","given":"Stefano","non-dropping-particle":"","parse-names":false,"suffix":""},{"dropping-particle":"","family":"McDonnell","given":"Melissa J","non-dropping-particle":"","parse-names":false,"suffix":""},{"dropping-particle":"","family":"Lonni","given":"Sara","non-dropping-particle":"","parse-names":false,"suffix":""},{"dropping-particle":"","family":"Davidson","given":"John","non-dropping-particle":"","parse-names":false,"suffix":""},{"dropping-particle":"","family":"Poppelwell","given":"Lucy","non-dropping-particle":"","parse-names":false,"suffix":""},{"dropping-particle":"","family":"Salih","given":"Waleed","non-dropping-particle":"","parse-names":false,"suffix":""},{"dropping-particle":"","family":"Pesci","given":"Alberto","non-dropping-particle":"","parse-names":false,"suffix":""},{"dropping-particle":"","family":"Dupont","given":"Lieven J","non-dropping-particle":"","parse-names":false,"suffix":""},{"dropping-particle":"","family":"Fardon","given":"Thomas C","non-dropping-particle":"","parse-names":false,"suffix":""},{"dropping-particle":"","family":"Soyza","given":"Anthony","non-dropping-particle":"De","parse-names":false,"suffix":""},{"dropping-particle":"","family":"Hill","given":"Adam T","non-dropping-particle":"","parse-names":false,"suffix":""}],"container-title":"American journal of respiratory and critical care medicine","id":"ITEM-1","issue":"5","issued":{"date-parts":[["2014","3"]]},"language":"eng","page":"576-585","publisher-place":"United States","title":"The bronchiectasis severity index. An international derivation and validation study.","type":"article-journal","volume":"189"},"uris":["http://www.mendeley.com/documents/?uuid=c1d9178b-db48-400a-b2b1-9f6141cc1b59"]}],"mendeley":{"formattedCitation":"(4)","plainTextFormattedCitation":"(4)","previouslyFormattedCitation":"(4)"},"properties":{"noteIndex":0},"schema":"https://github.com/citation-style-language/schema/raw/master/csl-citation.json"}</w:instrText>
      </w:r>
      <w:r w:rsidR="00A76440">
        <w:fldChar w:fldCharType="separate"/>
      </w:r>
      <w:r w:rsidR="00A76440" w:rsidRPr="00A76440">
        <w:rPr>
          <w:noProof/>
        </w:rPr>
        <w:t>(4)</w:t>
      </w:r>
      <w:r w:rsidR="00A76440">
        <w:fldChar w:fldCharType="end"/>
      </w:r>
    </w:p>
    <w:p w14:paraId="0A761923" w14:textId="77777777" w:rsidR="00337EE3" w:rsidRDefault="00337EE3" w:rsidP="008A7F3A">
      <w:pPr>
        <w:pStyle w:val="ListParagraph"/>
      </w:pPr>
    </w:p>
    <w:p w14:paraId="6993614B" w14:textId="77777777" w:rsidR="00337EE3" w:rsidRPr="00337EE3" w:rsidRDefault="008A7F3A" w:rsidP="00F15856">
      <w:pPr>
        <w:pStyle w:val="ListParagraph"/>
        <w:numPr>
          <w:ilvl w:val="0"/>
          <w:numId w:val="6"/>
        </w:numPr>
        <w:rPr>
          <w:b/>
          <w:bCs/>
        </w:rPr>
      </w:pPr>
      <w:r w:rsidRPr="00337EE3">
        <w:rPr>
          <w:b/>
          <w:bCs/>
        </w:rPr>
        <w:t>Additional data</w:t>
      </w:r>
    </w:p>
    <w:p w14:paraId="0D08ADB6" w14:textId="1B09FF49" w:rsidR="2C51789A" w:rsidRDefault="008A7F3A" w:rsidP="00337EE3">
      <w:pPr>
        <w:pStyle w:val="ListParagraph"/>
      </w:pPr>
      <w:r>
        <w:t xml:space="preserve">Sex, </w:t>
      </w:r>
      <w:r w:rsidR="2C51789A">
        <w:t>inhalation treatments (if available), smoking status</w:t>
      </w:r>
      <w:r w:rsidR="32E47602">
        <w:t xml:space="preserve"> and standard microbiology analysis at the time of sample microbiome</w:t>
      </w:r>
      <w:r w:rsidR="40BD1CD5">
        <w:t xml:space="preserve"> sample</w:t>
      </w:r>
      <w:r w:rsidR="32E47602">
        <w:t xml:space="preserve"> collection</w:t>
      </w:r>
      <w:r w:rsidR="5965F048">
        <w:t xml:space="preserve"> (if available). </w:t>
      </w:r>
    </w:p>
    <w:p w14:paraId="1CAE1B08" w14:textId="60884697" w:rsidR="008A7F3A" w:rsidRDefault="008A7F3A" w:rsidP="61A89738">
      <w:pPr>
        <w:pStyle w:val="ListParagraph"/>
      </w:pPr>
      <w:r>
        <w:t xml:space="preserve">Sex, </w:t>
      </w:r>
      <w:r w:rsidR="595BD870">
        <w:t xml:space="preserve">smoking status, </w:t>
      </w:r>
      <w:r>
        <w:t>ongoing inhaled treatments</w:t>
      </w:r>
      <w:r w:rsidR="00EDEE1C">
        <w:t xml:space="preserve"> (if available)</w:t>
      </w:r>
      <w:r>
        <w:t>, standard microbiology culture results</w:t>
      </w:r>
      <w:r w:rsidR="73BA2553">
        <w:t xml:space="preserve"> at the time </w:t>
      </w:r>
      <w:r w:rsidR="45754CF3">
        <w:t>of sputum</w:t>
      </w:r>
      <w:r w:rsidR="3199DFBF">
        <w:t xml:space="preserve"> microbiome sample</w:t>
      </w:r>
      <w:r w:rsidR="45754CF3">
        <w:t xml:space="preserve"> (</w:t>
      </w:r>
      <w:r w:rsidR="250527B7">
        <w:t>if</w:t>
      </w:r>
      <w:r w:rsidR="45754CF3">
        <w:t xml:space="preserve"> available)</w:t>
      </w:r>
      <w:r w:rsidR="7A7FC388">
        <w:t xml:space="preserve"> and</w:t>
      </w:r>
      <w:r w:rsidR="30DAAAC3">
        <w:t xml:space="preserve"> </w:t>
      </w:r>
      <w:r w:rsidR="7A7FC388">
        <w:t>history of chronic infection</w:t>
      </w:r>
    </w:p>
    <w:p w14:paraId="3AC836D2" w14:textId="0E01667E" w:rsidR="00DC0101" w:rsidRPr="00DC0101" w:rsidRDefault="00DC0101" w:rsidP="0003192B">
      <w:pPr>
        <w:rPr>
          <w:b/>
        </w:rPr>
      </w:pPr>
      <w:r w:rsidRPr="00DC0101">
        <w:rPr>
          <w:b/>
        </w:rPr>
        <w:t xml:space="preserve">Sample collection and </w:t>
      </w:r>
      <w:r w:rsidR="00E87CBD" w:rsidRPr="00DC0101">
        <w:rPr>
          <w:b/>
        </w:rPr>
        <w:t>preparation</w:t>
      </w:r>
    </w:p>
    <w:p w14:paraId="673A7C60" w14:textId="61B0018C" w:rsidR="007638F2" w:rsidRDefault="00B12604" w:rsidP="0003192B">
      <w:pPr>
        <w:rPr>
          <w:lang w:val="it-IT"/>
        </w:rPr>
      </w:pPr>
      <w:r>
        <w:t>N.2</w:t>
      </w:r>
      <w:r w:rsidR="00077C2C">
        <w:t xml:space="preserve"> vials with 0.2 </w:t>
      </w:r>
      <w:r w:rsidR="00DC0101">
        <w:t xml:space="preserve">g of sputum </w:t>
      </w:r>
      <w:r>
        <w:t xml:space="preserve">each </w:t>
      </w:r>
      <w:r w:rsidR="00DC0101">
        <w:t>should be aliquoted and sent on dry ice to</w:t>
      </w:r>
      <w:r>
        <w:t xml:space="preserve"> </w:t>
      </w:r>
      <w:r w:rsidR="007638F2">
        <w:t>“Leonardo Terranova</w:t>
      </w:r>
      <w:r w:rsidR="007638F2" w:rsidRPr="007638F2">
        <w:t xml:space="preserve">, Fondazione IRCCS Cà Granda Ospedale Maggiore Policlinico, Pad. </w:t>
      </w:r>
      <w:r w:rsidR="007638F2" w:rsidRPr="007638F2">
        <w:rPr>
          <w:lang w:val="it-IT"/>
        </w:rPr>
        <w:t>Quarto 1 piano, Centro di Ricerca, via pace 9, 20122 Milano, Italy.</w:t>
      </w:r>
      <w:r w:rsidR="007638F2">
        <w:rPr>
          <w:lang w:val="it-IT"/>
        </w:rPr>
        <w:t>”</w:t>
      </w:r>
    </w:p>
    <w:p w14:paraId="01629DAA" w14:textId="25D493E5" w:rsidR="0003192B" w:rsidRPr="007638F2" w:rsidRDefault="0003192B" w:rsidP="0003192B">
      <w:pPr>
        <w:rPr>
          <w:b/>
        </w:rPr>
      </w:pPr>
      <w:r w:rsidRPr="007638F2">
        <w:rPr>
          <w:b/>
        </w:rPr>
        <w:t xml:space="preserve">Ethical Considerations, Data handling and safety </w:t>
      </w:r>
    </w:p>
    <w:p w14:paraId="3F473F9A" w14:textId="50512CB0" w:rsidR="0003192B" w:rsidRDefault="0003192B" w:rsidP="0003192B">
      <w:r>
        <w:t xml:space="preserve">All participating centres </w:t>
      </w:r>
      <w:r w:rsidR="00E87CBD">
        <w:t xml:space="preserve">should </w:t>
      </w:r>
      <w:r>
        <w:t xml:space="preserve">ensure </w:t>
      </w:r>
      <w:r w:rsidR="00E87CBD">
        <w:t>they</w:t>
      </w:r>
      <w:r>
        <w:t xml:space="preserve"> have appropriate Ethics Approvals for their institution in accordance with national governing bodies. All data shall only be provided anonymized and following applicable national/local data protection laws.  </w:t>
      </w:r>
    </w:p>
    <w:p w14:paraId="12EE2DC8" w14:textId="1506B1AD" w:rsidR="00DC0101" w:rsidRDefault="00E87CBD" w:rsidP="0003192B">
      <w:r>
        <w:t xml:space="preserve">Material transfer agreements will be put in place between Milan and </w:t>
      </w:r>
      <w:r w:rsidR="00005E77">
        <w:t>the sites.</w:t>
      </w:r>
    </w:p>
    <w:p w14:paraId="565F2054" w14:textId="77777777" w:rsidR="0003192B" w:rsidRPr="00BF5D48" w:rsidRDefault="0003192B" w:rsidP="0003192B">
      <w:pPr>
        <w:rPr>
          <w:b/>
        </w:rPr>
      </w:pPr>
      <w:r w:rsidRPr="00BF5D48">
        <w:rPr>
          <w:b/>
        </w:rPr>
        <w:t xml:space="preserve">Anticipated Milestones: </w:t>
      </w:r>
    </w:p>
    <w:p w14:paraId="1A682C15" w14:textId="5472BC10" w:rsidR="00FC78EF" w:rsidRDefault="0003192B" w:rsidP="000C7374">
      <w:pPr>
        <w:pStyle w:val="ListParagraph"/>
        <w:numPr>
          <w:ilvl w:val="0"/>
          <w:numId w:val="5"/>
        </w:numPr>
      </w:pPr>
      <w:r>
        <w:t xml:space="preserve">Collaborators </w:t>
      </w:r>
      <w:r w:rsidR="00BF5D48">
        <w:t xml:space="preserve">agree </w:t>
      </w:r>
      <w:r>
        <w:t>this concept sheet</w:t>
      </w:r>
      <w:r w:rsidR="00FC78EF">
        <w:t xml:space="preserve"> and confirm </w:t>
      </w:r>
      <w:r w:rsidR="00BF5D48">
        <w:t>sample</w:t>
      </w:r>
      <w:r w:rsidR="00FC78EF">
        <w:t xml:space="preserve"> numbers by </w:t>
      </w:r>
      <w:r w:rsidR="00BF5D48">
        <w:t>15.</w:t>
      </w:r>
      <w:r w:rsidR="00BF7549">
        <w:t>12</w:t>
      </w:r>
      <w:r w:rsidR="00BF5D48">
        <w:t>.20</w:t>
      </w:r>
      <w:r>
        <w:t xml:space="preserve"> </w:t>
      </w:r>
    </w:p>
    <w:p w14:paraId="296FD4E2" w14:textId="7A3613F9" w:rsidR="00BF5D48" w:rsidRDefault="00BF5D48" w:rsidP="000C7374">
      <w:pPr>
        <w:pStyle w:val="ListParagraph"/>
        <w:numPr>
          <w:ilvl w:val="0"/>
          <w:numId w:val="5"/>
        </w:numPr>
      </w:pPr>
      <w:r>
        <w:t xml:space="preserve">Partners set up MTA agreements by </w:t>
      </w:r>
      <w:r w:rsidR="00DE27AC">
        <w:t>30</w:t>
      </w:r>
      <w:r>
        <w:t>.1.</w:t>
      </w:r>
      <w:r w:rsidR="00BF7549">
        <w:t>21</w:t>
      </w:r>
    </w:p>
    <w:p w14:paraId="42469EDE" w14:textId="7AC9CC09" w:rsidR="00BF5D48" w:rsidRDefault="00FC78EF" w:rsidP="000C7374">
      <w:pPr>
        <w:pStyle w:val="ListParagraph"/>
        <w:numPr>
          <w:ilvl w:val="0"/>
          <w:numId w:val="5"/>
        </w:numPr>
      </w:pPr>
      <w:r>
        <w:t>P</w:t>
      </w:r>
      <w:r w:rsidR="0003192B">
        <w:t xml:space="preserve">artners </w:t>
      </w:r>
      <w:r w:rsidR="00BF5D48">
        <w:t xml:space="preserve">ship </w:t>
      </w:r>
      <w:r>
        <w:t xml:space="preserve">sputum </w:t>
      </w:r>
      <w:r w:rsidR="00BF5D48">
        <w:t xml:space="preserve">samples on ice to Milan </w:t>
      </w:r>
      <w:r>
        <w:t xml:space="preserve">by </w:t>
      </w:r>
      <w:r w:rsidR="00DE27AC">
        <w:t>15</w:t>
      </w:r>
      <w:r w:rsidR="0003192B">
        <w:t>.</w:t>
      </w:r>
      <w:r w:rsidR="00DE27AC">
        <w:t>2</w:t>
      </w:r>
      <w:r w:rsidR="0003192B">
        <w:t>.</w:t>
      </w:r>
      <w:r w:rsidR="00BF7549">
        <w:t xml:space="preserve">2021  </w:t>
      </w:r>
    </w:p>
    <w:p w14:paraId="2A499067" w14:textId="3D03C393" w:rsidR="00BF5D48" w:rsidRDefault="00BF5D48" w:rsidP="000C7374">
      <w:pPr>
        <w:pStyle w:val="ListParagraph"/>
        <w:numPr>
          <w:ilvl w:val="0"/>
          <w:numId w:val="5"/>
        </w:numPr>
      </w:pPr>
      <w:r>
        <w:t>Sample extraction</w:t>
      </w:r>
      <w:r w:rsidR="00EE3629">
        <w:t xml:space="preserve"> and solubilization,</w:t>
      </w:r>
      <w:r w:rsidR="00DE27AC">
        <w:t xml:space="preserve"> </w:t>
      </w:r>
      <w:r w:rsidR="003C647E">
        <w:t xml:space="preserve">16s sequencing </w:t>
      </w:r>
      <w:r w:rsidR="00077C2C">
        <w:t xml:space="preserve">and inflammatory biomarkers assessment </w:t>
      </w:r>
      <w:r>
        <w:t>30.</w:t>
      </w:r>
      <w:r w:rsidR="00BF7549">
        <w:t>5</w:t>
      </w:r>
      <w:r>
        <w:t>.202</w:t>
      </w:r>
      <w:r w:rsidR="002266A6">
        <w:t>1</w:t>
      </w:r>
    </w:p>
    <w:p w14:paraId="63358C84" w14:textId="2B12A59B" w:rsidR="00BF5D48" w:rsidRDefault="0003192B" w:rsidP="000C7374">
      <w:pPr>
        <w:pStyle w:val="ListParagraph"/>
        <w:numPr>
          <w:ilvl w:val="0"/>
          <w:numId w:val="5"/>
        </w:numPr>
      </w:pPr>
      <w:r>
        <w:lastRenderedPageBreak/>
        <w:t xml:space="preserve">Data cleaning and analysis </w:t>
      </w:r>
      <w:r w:rsidR="00BF5D48">
        <w:t>30.</w:t>
      </w:r>
      <w:r w:rsidR="00BF7549">
        <w:t>06</w:t>
      </w:r>
      <w:r w:rsidR="00BF5D48">
        <w:t>.202</w:t>
      </w:r>
      <w:r w:rsidR="002266A6">
        <w:t>1</w:t>
      </w:r>
    </w:p>
    <w:p w14:paraId="6A539A20" w14:textId="053A54E4" w:rsidR="0003192B" w:rsidRDefault="0003192B" w:rsidP="000C7374">
      <w:pPr>
        <w:pStyle w:val="ListParagraph"/>
        <w:numPr>
          <w:ilvl w:val="0"/>
          <w:numId w:val="5"/>
        </w:numPr>
      </w:pPr>
      <w:r>
        <w:t>Circulating a first draft of the manuscript by 31.</w:t>
      </w:r>
      <w:r w:rsidR="00BF7549">
        <w:t>07</w:t>
      </w:r>
      <w:r>
        <w:t xml:space="preserve">.2021 </w:t>
      </w:r>
      <w:r w:rsidRPr="000C7374">
        <w:rPr>
          <w:rFonts w:ascii="Tahoma" w:hAnsi="Tahoma" w:cs="Tahoma"/>
        </w:rPr>
        <w:t> </w:t>
      </w:r>
      <w:r>
        <w:t xml:space="preserve">  </w:t>
      </w:r>
    </w:p>
    <w:p w14:paraId="244CA8B3" w14:textId="77777777" w:rsidR="00BF5D48" w:rsidRPr="00B12604" w:rsidRDefault="00BF5D48" w:rsidP="00BF5D48">
      <w:pPr>
        <w:rPr>
          <w:b/>
          <w:bCs/>
        </w:rPr>
      </w:pPr>
      <w:r w:rsidRPr="00B12604">
        <w:rPr>
          <w:b/>
          <w:bCs/>
        </w:rPr>
        <w:t xml:space="preserve">Authorship </w:t>
      </w:r>
    </w:p>
    <w:p w14:paraId="2BF0A429" w14:textId="77777777" w:rsidR="00BF5D48" w:rsidRDefault="00BF5D48" w:rsidP="00BF5D48">
      <w:r>
        <w:t xml:space="preserve">Data providers and departments involved in the study will be offered a co-authorship according to the criteria of the International Committee of Medical Journal Editors, which include all the following: i) substantial contributions to the conception or design of the work; or the acquisition, analysis, or interpretation of data for the work; ii) drafting the work or revising it critically for important intellectual content; iii) final approval of the version to be published; and iv) agreement to be accountable for all aspects of the work in ensuring that questions related to the accuracy or integrity of any part of the work are appropriately investigated and resolved.  </w:t>
      </w:r>
    </w:p>
    <w:p w14:paraId="49D67729" w14:textId="77777777" w:rsidR="00BF5D48" w:rsidRDefault="00BF5D48" w:rsidP="00BF5D48">
      <w:r>
        <w:t xml:space="preserve">All other partners and collaborators contributing to this trial shall be duly acknowledged in the publication.  </w:t>
      </w:r>
    </w:p>
    <w:p w14:paraId="43A63790" w14:textId="77777777" w:rsidR="0003192B" w:rsidRDefault="0003192B"/>
    <w:p w14:paraId="1F352698" w14:textId="741ECCA6" w:rsidR="00C510C3" w:rsidRDefault="00C510C3">
      <w:r>
        <w:t>References</w:t>
      </w:r>
    </w:p>
    <w:p w14:paraId="4FE1A589" w14:textId="1D8AD244" w:rsidR="00A76440" w:rsidRPr="00A76440" w:rsidRDefault="00A76440" w:rsidP="00A76440">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A76440">
        <w:rPr>
          <w:rFonts w:ascii="Calibri" w:hAnsi="Calibri" w:cs="Calibri"/>
          <w:noProof/>
          <w:szCs w:val="24"/>
        </w:rPr>
        <w:t xml:space="preserve">1. </w:t>
      </w:r>
      <w:r w:rsidRPr="00A76440">
        <w:rPr>
          <w:rFonts w:ascii="Calibri" w:hAnsi="Calibri" w:cs="Calibri"/>
          <w:noProof/>
          <w:szCs w:val="24"/>
        </w:rPr>
        <w:tab/>
        <w:t xml:space="preserve">Polverino E, Goeminne PC, McDonnell MJ, Aliberti S, Marshall SE, Loebinger MR, et al. European Respiratory Society guidelines for the management of adult bronchiectasis. Eur Respir J. 2017 Sep;50(3). </w:t>
      </w:r>
    </w:p>
    <w:p w14:paraId="1E9869B0" w14:textId="77777777" w:rsidR="00A76440" w:rsidRPr="00A76440" w:rsidRDefault="00A76440" w:rsidP="00A76440">
      <w:pPr>
        <w:widowControl w:val="0"/>
        <w:autoSpaceDE w:val="0"/>
        <w:autoSpaceDN w:val="0"/>
        <w:adjustRightInd w:val="0"/>
        <w:spacing w:line="240" w:lineRule="auto"/>
        <w:ind w:left="640" w:hanging="640"/>
        <w:rPr>
          <w:rFonts w:ascii="Calibri" w:hAnsi="Calibri" w:cs="Calibri"/>
          <w:noProof/>
          <w:szCs w:val="24"/>
        </w:rPr>
      </w:pPr>
      <w:r w:rsidRPr="00A76440">
        <w:rPr>
          <w:rFonts w:ascii="Calibri" w:hAnsi="Calibri" w:cs="Calibri"/>
          <w:noProof/>
          <w:szCs w:val="24"/>
        </w:rPr>
        <w:t xml:space="preserve">2. </w:t>
      </w:r>
      <w:r w:rsidRPr="00A76440">
        <w:rPr>
          <w:rFonts w:ascii="Calibri" w:hAnsi="Calibri" w:cs="Calibri"/>
          <w:noProof/>
          <w:szCs w:val="24"/>
        </w:rPr>
        <w:tab/>
        <w:t xml:space="preserve">Shoemark A, Boon M, Brochhausen C, Bukowy-Bieryllo Z, de Santi MM, Goggin P, et al. International consensus guideline for reporting transmission electron microscopy results in the diagnosis of Primary Ciliary Dyskinesia (BEAT PCD TEM Criteria). Eur Respir J. 2020;55(4). </w:t>
      </w:r>
    </w:p>
    <w:p w14:paraId="581B5483" w14:textId="77777777" w:rsidR="00A76440" w:rsidRPr="00A76440" w:rsidRDefault="00A76440" w:rsidP="00A76440">
      <w:pPr>
        <w:widowControl w:val="0"/>
        <w:autoSpaceDE w:val="0"/>
        <w:autoSpaceDN w:val="0"/>
        <w:adjustRightInd w:val="0"/>
        <w:spacing w:line="240" w:lineRule="auto"/>
        <w:ind w:left="640" w:hanging="640"/>
        <w:rPr>
          <w:rFonts w:ascii="Calibri" w:hAnsi="Calibri" w:cs="Calibri"/>
          <w:noProof/>
          <w:szCs w:val="24"/>
        </w:rPr>
      </w:pPr>
      <w:r w:rsidRPr="00A76440">
        <w:rPr>
          <w:rFonts w:ascii="Calibri" w:hAnsi="Calibri" w:cs="Calibri"/>
          <w:noProof/>
          <w:szCs w:val="24"/>
        </w:rPr>
        <w:t xml:space="preserve">3. </w:t>
      </w:r>
      <w:r w:rsidRPr="00A76440">
        <w:rPr>
          <w:rFonts w:ascii="Calibri" w:hAnsi="Calibri" w:cs="Calibri"/>
          <w:noProof/>
          <w:szCs w:val="24"/>
        </w:rPr>
        <w:tab/>
        <w:t xml:space="preserve">Behan L, Dimitrov BD, Kuehni CE, Hogg C, Carroll M, Evans HJ, et al. PICADAR: a diagnostic predictive tool for primary ciliary dyskinesia. Eur Respir J. 2016 Apr;47(4):1103–12. </w:t>
      </w:r>
    </w:p>
    <w:p w14:paraId="2B85FBAF" w14:textId="77777777" w:rsidR="00A76440" w:rsidRPr="00A76440" w:rsidRDefault="00A76440" w:rsidP="00A76440">
      <w:pPr>
        <w:widowControl w:val="0"/>
        <w:autoSpaceDE w:val="0"/>
        <w:autoSpaceDN w:val="0"/>
        <w:adjustRightInd w:val="0"/>
        <w:spacing w:line="240" w:lineRule="auto"/>
        <w:ind w:left="640" w:hanging="640"/>
        <w:rPr>
          <w:rFonts w:ascii="Calibri" w:hAnsi="Calibri" w:cs="Calibri"/>
          <w:noProof/>
        </w:rPr>
      </w:pPr>
      <w:r w:rsidRPr="00A76440">
        <w:rPr>
          <w:rFonts w:ascii="Calibri" w:hAnsi="Calibri" w:cs="Calibri"/>
          <w:noProof/>
          <w:szCs w:val="24"/>
        </w:rPr>
        <w:t xml:space="preserve">4. </w:t>
      </w:r>
      <w:r w:rsidRPr="00A76440">
        <w:rPr>
          <w:rFonts w:ascii="Calibri" w:hAnsi="Calibri" w:cs="Calibri"/>
          <w:noProof/>
          <w:szCs w:val="24"/>
        </w:rPr>
        <w:tab/>
        <w:t xml:space="preserve">Chalmers JD, Goeminne P, Aliberti S, McDonnell MJ, Lonni S, Davidson J, et al. The bronchiectasis severity index. An international derivation and validation study. Am J Respir Crit Care Med. 2014 Mar;189(5):576–85. </w:t>
      </w:r>
    </w:p>
    <w:p w14:paraId="2A5C6116" w14:textId="6A1B7E9C" w:rsidR="00A76440" w:rsidRDefault="00A76440">
      <w:r>
        <w:fldChar w:fldCharType="end"/>
      </w:r>
    </w:p>
    <w:p w14:paraId="430BE53B" w14:textId="77777777" w:rsidR="00C510C3" w:rsidRDefault="00C510C3"/>
    <w:sectPr w:rsidR="00C510C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D80B672" w16cex:dateUtc="2020-11-10T08:56:00Z"/>
  <w16cex:commentExtensible w16cex:durableId="2354815D" w16cex:dateUtc="2020-11-10T11:02:00Z"/>
  <w16cex:commentExtensible w16cex:durableId="0E9B670F" w16cex:dateUtc="2020-11-10T14:55:00Z"/>
  <w16cex:commentExtensible w16cex:durableId="2354BAA5" w16cex:dateUtc="2020-11-10T15: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424F"/>
    <w:multiLevelType w:val="hybridMultilevel"/>
    <w:tmpl w:val="1848D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3794C"/>
    <w:multiLevelType w:val="hybridMultilevel"/>
    <w:tmpl w:val="79B4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D2221"/>
    <w:multiLevelType w:val="hybridMultilevel"/>
    <w:tmpl w:val="17B8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D25B0"/>
    <w:multiLevelType w:val="hybridMultilevel"/>
    <w:tmpl w:val="A8F0B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B1482"/>
    <w:multiLevelType w:val="hybridMultilevel"/>
    <w:tmpl w:val="79B4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06E24"/>
    <w:multiLevelType w:val="hybridMultilevel"/>
    <w:tmpl w:val="1310A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BF"/>
    <w:rsid w:val="00005E77"/>
    <w:rsid w:val="0003192B"/>
    <w:rsid w:val="00077C2C"/>
    <w:rsid w:val="0009376A"/>
    <w:rsid w:val="000A26BC"/>
    <w:rsid w:val="000C7374"/>
    <w:rsid w:val="001C598D"/>
    <w:rsid w:val="001D2176"/>
    <w:rsid w:val="002266A6"/>
    <w:rsid w:val="002E5A39"/>
    <w:rsid w:val="002F3E78"/>
    <w:rsid w:val="00337EE3"/>
    <w:rsid w:val="00356C87"/>
    <w:rsid w:val="00361662"/>
    <w:rsid w:val="003708A4"/>
    <w:rsid w:val="003A2D2C"/>
    <w:rsid w:val="003C647E"/>
    <w:rsid w:val="004B7D47"/>
    <w:rsid w:val="005119D8"/>
    <w:rsid w:val="00527108"/>
    <w:rsid w:val="005B2A56"/>
    <w:rsid w:val="00602BE1"/>
    <w:rsid w:val="00610060"/>
    <w:rsid w:val="00621A96"/>
    <w:rsid w:val="00695581"/>
    <w:rsid w:val="00715D81"/>
    <w:rsid w:val="007638F2"/>
    <w:rsid w:val="00787815"/>
    <w:rsid w:val="00877794"/>
    <w:rsid w:val="00892D6D"/>
    <w:rsid w:val="008A7F3A"/>
    <w:rsid w:val="008B6B8F"/>
    <w:rsid w:val="008F4870"/>
    <w:rsid w:val="009048B5"/>
    <w:rsid w:val="00A76440"/>
    <w:rsid w:val="00A80C4A"/>
    <w:rsid w:val="00AE74E6"/>
    <w:rsid w:val="00B12604"/>
    <w:rsid w:val="00B66F0E"/>
    <w:rsid w:val="00BC62A6"/>
    <w:rsid w:val="00BE3BAE"/>
    <w:rsid w:val="00BF5D48"/>
    <w:rsid w:val="00BF7549"/>
    <w:rsid w:val="00C42CBF"/>
    <w:rsid w:val="00C510C3"/>
    <w:rsid w:val="00C963E4"/>
    <w:rsid w:val="00D61A87"/>
    <w:rsid w:val="00DC0101"/>
    <w:rsid w:val="00DE27AC"/>
    <w:rsid w:val="00E33E69"/>
    <w:rsid w:val="00E87CBD"/>
    <w:rsid w:val="00E93A69"/>
    <w:rsid w:val="00EC0E39"/>
    <w:rsid w:val="00EDEE1C"/>
    <w:rsid w:val="00EE3629"/>
    <w:rsid w:val="00F15856"/>
    <w:rsid w:val="00FB3E2D"/>
    <w:rsid w:val="00FC78EF"/>
    <w:rsid w:val="01E6B026"/>
    <w:rsid w:val="038D74F1"/>
    <w:rsid w:val="04E974FF"/>
    <w:rsid w:val="0615F84C"/>
    <w:rsid w:val="06501974"/>
    <w:rsid w:val="0EE65D3F"/>
    <w:rsid w:val="149FE3C6"/>
    <w:rsid w:val="14AF3035"/>
    <w:rsid w:val="192E68FF"/>
    <w:rsid w:val="193111D4"/>
    <w:rsid w:val="1A1D586A"/>
    <w:rsid w:val="1A3BCFDC"/>
    <w:rsid w:val="1A45AA71"/>
    <w:rsid w:val="1CF7BCFC"/>
    <w:rsid w:val="1D3F8C9A"/>
    <w:rsid w:val="1D584702"/>
    <w:rsid w:val="1FB9119A"/>
    <w:rsid w:val="20024E89"/>
    <w:rsid w:val="21977D03"/>
    <w:rsid w:val="24FCCD9E"/>
    <w:rsid w:val="250527B7"/>
    <w:rsid w:val="2541C17E"/>
    <w:rsid w:val="27C6972D"/>
    <w:rsid w:val="29AC37BE"/>
    <w:rsid w:val="2C51789A"/>
    <w:rsid w:val="2CAC2EAD"/>
    <w:rsid w:val="2CFBEEEA"/>
    <w:rsid w:val="2E325B7E"/>
    <w:rsid w:val="2ECFE76C"/>
    <w:rsid w:val="2FF09A30"/>
    <w:rsid w:val="30DAAAC3"/>
    <w:rsid w:val="3199DFBF"/>
    <w:rsid w:val="31D41B58"/>
    <w:rsid w:val="32E47602"/>
    <w:rsid w:val="35FF02A0"/>
    <w:rsid w:val="36380E01"/>
    <w:rsid w:val="36A0FC99"/>
    <w:rsid w:val="37799AD4"/>
    <w:rsid w:val="396A2BA8"/>
    <w:rsid w:val="3A2D7278"/>
    <w:rsid w:val="3AA54B3E"/>
    <w:rsid w:val="3D7C8070"/>
    <w:rsid w:val="3DC60643"/>
    <w:rsid w:val="40BD1CD5"/>
    <w:rsid w:val="42F34652"/>
    <w:rsid w:val="43BA8DD7"/>
    <w:rsid w:val="44455A06"/>
    <w:rsid w:val="4568BD38"/>
    <w:rsid w:val="45754CF3"/>
    <w:rsid w:val="467E53C5"/>
    <w:rsid w:val="486AA4BB"/>
    <w:rsid w:val="4A529DD0"/>
    <w:rsid w:val="4B2784B4"/>
    <w:rsid w:val="4C079416"/>
    <w:rsid w:val="4E57F88C"/>
    <w:rsid w:val="529F78E2"/>
    <w:rsid w:val="52CCB499"/>
    <w:rsid w:val="54B036D0"/>
    <w:rsid w:val="581C86EC"/>
    <w:rsid w:val="595BD870"/>
    <w:rsid w:val="5965F048"/>
    <w:rsid w:val="5CDB6B8D"/>
    <w:rsid w:val="5EDDC161"/>
    <w:rsid w:val="5FD7C290"/>
    <w:rsid w:val="61A89738"/>
    <w:rsid w:val="65A570CD"/>
    <w:rsid w:val="6604C5F5"/>
    <w:rsid w:val="6C24492E"/>
    <w:rsid w:val="6ED29456"/>
    <w:rsid w:val="6EEB5FAF"/>
    <w:rsid w:val="6F2E3FDA"/>
    <w:rsid w:val="73BA2553"/>
    <w:rsid w:val="7784FFAA"/>
    <w:rsid w:val="77A201A3"/>
    <w:rsid w:val="77BA9B2E"/>
    <w:rsid w:val="7985FCFD"/>
    <w:rsid w:val="7A7FC388"/>
    <w:rsid w:val="7C84AB17"/>
    <w:rsid w:val="7D4EF4E4"/>
    <w:rsid w:val="7D4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AC60"/>
  <w15:chartTrackingRefBased/>
  <w15:docId w15:val="{27F56495-68FF-486D-AA4B-429A4EAC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6D"/>
    <w:pPr>
      <w:ind w:left="720"/>
      <w:contextualSpacing/>
    </w:pPr>
  </w:style>
  <w:style w:type="character" w:styleId="CommentReference">
    <w:name w:val="annotation reference"/>
    <w:basedOn w:val="DefaultParagraphFont"/>
    <w:uiPriority w:val="99"/>
    <w:semiHidden/>
    <w:unhideWhenUsed/>
    <w:rsid w:val="00715D81"/>
    <w:rPr>
      <w:sz w:val="16"/>
      <w:szCs w:val="16"/>
    </w:rPr>
  </w:style>
  <w:style w:type="paragraph" w:styleId="CommentText">
    <w:name w:val="annotation text"/>
    <w:basedOn w:val="Normal"/>
    <w:link w:val="CommentTextChar"/>
    <w:uiPriority w:val="99"/>
    <w:semiHidden/>
    <w:unhideWhenUsed/>
    <w:rsid w:val="00715D81"/>
    <w:pPr>
      <w:spacing w:line="240" w:lineRule="auto"/>
    </w:pPr>
    <w:rPr>
      <w:sz w:val="20"/>
      <w:szCs w:val="20"/>
    </w:rPr>
  </w:style>
  <w:style w:type="character" w:customStyle="1" w:styleId="CommentTextChar">
    <w:name w:val="Comment Text Char"/>
    <w:basedOn w:val="DefaultParagraphFont"/>
    <w:link w:val="CommentText"/>
    <w:uiPriority w:val="99"/>
    <w:semiHidden/>
    <w:rsid w:val="00715D81"/>
    <w:rPr>
      <w:sz w:val="20"/>
      <w:szCs w:val="20"/>
    </w:rPr>
  </w:style>
  <w:style w:type="paragraph" w:styleId="CommentSubject">
    <w:name w:val="annotation subject"/>
    <w:basedOn w:val="CommentText"/>
    <w:next w:val="CommentText"/>
    <w:link w:val="CommentSubjectChar"/>
    <w:uiPriority w:val="99"/>
    <w:semiHidden/>
    <w:unhideWhenUsed/>
    <w:rsid w:val="00715D81"/>
    <w:rPr>
      <w:b/>
      <w:bCs/>
    </w:rPr>
  </w:style>
  <w:style w:type="character" w:customStyle="1" w:styleId="CommentSubjectChar">
    <w:name w:val="Comment Subject Char"/>
    <w:basedOn w:val="CommentTextChar"/>
    <w:link w:val="CommentSubject"/>
    <w:uiPriority w:val="99"/>
    <w:semiHidden/>
    <w:rsid w:val="00715D81"/>
    <w:rPr>
      <w:b/>
      <w:bCs/>
      <w:sz w:val="20"/>
      <w:szCs w:val="20"/>
    </w:rPr>
  </w:style>
  <w:style w:type="paragraph" w:styleId="BalloonText">
    <w:name w:val="Balloon Text"/>
    <w:basedOn w:val="Normal"/>
    <w:link w:val="BalloonTextChar"/>
    <w:uiPriority w:val="99"/>
    <w:semiHidden/>
    <w:unhideWhenUsed/>
    <w:rsid w:val="0071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11E6223399A4D8BF00CFCE9150586" ma:contentTypeVersion="13" ma:contentTypeDescription="Create a new document." ma:contentTypeScope="" ma:versionID="ae80f5fc8a5a510ca6abb3e4d45b7d38">
  <xsd:schema xmlns:xsd="http://www.w3.org/2001/XMLSchema" xmlns:xs="http://www.w3.org/2001/XMLSchema" xmlns:p="http://schemas.microsoft.com/office/2006/metadata/properties" xmlns:ns3="31892ee8-59d1-4878-bde3-f513980c8b4c" xmlns:ns4="2aadc3dc-7cc6-4c5e-9acc-5bb2225a3d19" targetNamespace="http://schemas.microsoft.com/office/2006/metadata/properties" ma:root="true" ma:fieldsID="3bc3f74df9aa6a82bae14ad4ab0a7945" ns3:_="" ns4:_="">
    <xsd:import namespace="31892ee8-59d1-4878-bde3-f513980c8b4c"/>
    <xsd:import namespace="2aadc3dc-7cc6-4c5e-9acc-5bb2225a3d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2ee8-59d1-4878-bde3-f513980c8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c3dc-7cc6-4c5e-9acc-5bb2225a3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2A9D-3A8D-47B3-BF48-8600792F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92ee8-59d1-4878-bde3-f513980c8b4c"/>
    <ds:schemaRef ds:uri="2aadc3dc-7cc6-4c5e-9acc-5bb2225a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6B2A3-9D56-4F92-91C4-4A7A70952B06}">
  <ds:schemaRefs>
    <ds:schemaRef ds:uri="http://schemas.microsoft.com/sharepoint/v3/contenttype/forms"/>
  </ds:schemaRefs>
</ds:datastoreItem>
</file>

<file path=customXml/itemProps3.xml><?xml version="1.0" encoding="utf-8"?>
<ds:datastoreItem xmlns:ds="http://schemas.openxmlformats.org/officeDocument/2006/customXml" ds:itemID="{DD002331-9711-4257-96C9-872F0E4D35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5DB36-5645-480E-8B10-4AA40F2F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3</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Shoemark (Staff)</dc:creator>
  <cp:keywords/>
  <dc:description/>
  <cp:lastModifiedBy>Amelia Shoemark (Staff)</cp:lastModifiedBy>
  <cp:revision>13</cp:revision>
  <dcterms:created xsi:type="dcterms:W3CDTF">2020-11-10T00:26:00Z</dcterms:created>
  <dcterms:modified xsi:type="dcterms:W3CDTF">2020-11-12T14:09:00Z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0x010100E2711E6223399A4D8BF00CFCE9150586</vt:lpwstr>
  </property>
  <property fmtid="{D5CDD505-2E9C-101B-9397-08002B2CF9AE}" pid="3" name="Mendeley Document_1">
    <vt:lpwstr>True</vt:lpwstr>
  </property>
  <property fmtid="{D5CDD505-2E9C-101B-9397-08002B2CF9AE}" pid="4" name="Mendeley Unique User Id_1">
    <vt:lpwstr>c33f9a1c-8267-35c5-ba5e-4563bf004772</vt:lpwstr>
  </property>
  <property fmtid="{D5CDD505-2E9C-101B-9397-08002B2CF9AE}" pid="5" name="Mendeley Citation Style_1">
    <vt:lpwstr>http://www.zotero.org/styles/vancouver</vt:lpwstr>
  </property>
</Properties>
</file>